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 May 19, 2026</w:t>
      </w: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TURN THERAPEUTICS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4420" w:type="dxa"/>
            <w:vAlign w:val="bottom"/>
            <w:gridSpan w:val="3"/>
          </w:tcPr>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020" w:type="dxa"/>
            <w:vAlign w:val="bottom"/>
            <w:gridSpan w:val="3"/>
          </w:tcPr>
          <w:p>
            <w:pPr>
              <w:jc w:val="right"/>
              <w:ind w:right="1420"/>
              <w:spacing w:after="0"/>
              <w:rPr>
                <w:sz w:val="20"/>
                <w:szCs w:val="20"/>
                <w:color w:val="auto"/>
              </w:rPr>
            </w:pPr>
            <w:r>
              <w:rPr>
                <w:rFonts w:ascii="Times New Roman" w:cs="Times New Roman" w:eastAsia="Times New Roman" w:hAnsi="Times New Roman"/>
                <w:sz w:val="18"/>
                <w:szCs w:val="18"/>
                <w:b w:val="1"/>
                <w:bCs w:val="1"/>
                <w:color w:val="auto"/>
              </w:rPr>
              <w:t>001-42875</w:t>
            </w:r>
          </w:p>
        </w:tc>
        <w:tc>
          <w:tcPr>
            <w:tcW w:w="200" w:type="dxa"/>
            <w:vAlign w:val="bottom"/>
          </w:tcPr>
          <w:p>
            <w:pPr>
              <w:spacing w:after="0"/>
              <w:rPr>
                <w:sz w:val="21"/>
                <w:szCs w:val="21"/>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32-0456090</w:t>
            </w:r>
          </w:p>
        </w:tc>
      </w:tr>
      <w:tr>
        <w:trPr>
          <w:trHeight w:val="198"/>
        </w:trPr>
        <w:tc>
          <w:tcPr>
            <w:tcW w:w="362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(State or other jurisdiction</w:t>
            </w:r>
          </w:p>
        </w:tc>
        <w:tc>
          <w:tcPr>
            <w:tcW w:w="220" w:type="dxa"/>
            <w:vAlign w:val="bottom"/>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3020" w:type="dxa"/>
            <w:vAlign w:val="bottom"/>
            <w:tcBorders>
              <w:top w:val="single" w:sz="8" w:color="auto"/>
            </w:tcBorders>
            <w:gridSpan w:val="3"/>
          </w:tcPr>
          <w:p>
            <w:pPr>
              <w:jc w:val="center"/>
              <w:ind w:right="580"/>
              <w:spacing w:after="0" w:line="198" w:lineRule="exact"/>
              <w:rPr>
                <w:sz w:val="20"/>
                <w:szCs w:val="20"/>
                <w:color w:val="auto"/>
              </w:rPr>
            </w:pPr>
            <w:r>
              <w:rPr>
                <w:rFonts w:ascii="Times New Roman" w:cs="Times New Roman" w:eastAsia="Times New Roman" w:hAnsi="Times New Roman"/>
                <w:sz w:val="18"/>
                <w:szCs w:val="18"/>
                <w:color w:val="auto"/>
              </w:rPr>
              <w:t>(Commission File Number)</w:t>
            </w:r>
          </w:p>
        </w:tc>
        <w:tc>
          <w:tcPr>
            <w:tcW w:w="200" w:type="dxa"/>
            <w:vAlign w:val="bottom"/>
          </w:tcPr>
          <w:p>
            <w:pPr>
              <w:spacing w:after="0"/>
              <w:rPr>
                <w:sz w:val="17"/>
                <w:szCs w:val="17"/>
                <w:color w:val="auto"/>
              </w:rPr>
            </w:pPr>
          </w:p>
        </w:tc>
        <w:tc>
          <w:tcPr>
            <w:tcW w:w="36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4420" w:type="dxa"/>
            <w:vAlign w:val="bottom"/>
            <w:gridSpan w:val="3"/>
          </w:tcPr>
          <w:p>
            <w:pPr>
              <w:jc w:val="center"/>
              <w:ind w:right="80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Number)</w:t>
            </w:r>
          </w:p>
        </w:tc>
      </w:tr>
      <w:tr>
        <w:trPr>
          <w:trHeight w:val="439"/>
        </w:trPr>
        <w:tc>
          <w:tcPr>
            <w:tcW w:w="7640" w:type="dxa"/>
            <w:vAlign w:val="bottom"/>
            <w:gridSpan w:val="7"/>
          </w:tcPr>
          <w:p>
            <w:pPr>
              <w:jc w:val="center"/>
              <w:ind w:right="2120"/>
              <w:spacing w:after="0"/>
              <w:rPr>
                <w:sz w:val="20"/>
                <w:szCs w:val="20"/>
                <w:color w:val="auto"/>
              </w:rPr>
            </w:pPr>
            <w:r>
              <w:rPr>
                <w:rFonts w:ascii="Times New Roman" w:cs="Times New Roman" w:eastAsia="Times New Roman" w:hAnsi="Times New Roman"/>
                <w:sz w:val="18"/>
                <w:szCs w:val="18"/>
                <w:b w:val="1"/>
                <w:bCs w:val="1"/>
                <w:color w:val="auto"/>
                <w:w w:val="98"/>
              </w:rPr>
              <w:t>250 N. Westlake Blvd., Westlake Village, California</w:t>
            </w:r>
          </w:p>
        </w:tc>
        <w:tc>
          <w:tcPr>
            <w:tcW w:w="3600" w:type="dxa"/>
            <w:vAlign w:val="bottom"/>
          </w:tcPr>
          <w:p>
            <w:pPr>
              <w:jc w:val="right"/>
              <w:ind w:right="2430"/>
              <w:spacing w:after="0"/>
              <w:rPr>
                <w:sz w:val="20"/>
                <w:szCs w:val="20"/>
                <w:color w:val="auto"/>
              </w:rPr>
            </w:pPr>
            <w:r>
              <w:rPr>
                <w:rFonts w:ascii="Times New Roman" w:cs="Times New Roman" w:eastAsia="Times New Roman" w:hAnsi="Times New Roman"/>
                <w:sz w:val="18"/>
                <w:szCs w:val="18"/>
                <w:b w:val="1"/>
                <w:bCs w:val="1"/>
                <w:color w:val="auto"/>
              </w:rPr>
              <w:t>91362</w:t>
            </w:r>
          </w:p>
        </w:tc>
      </w:tr>
      <w:tr>
        <w:trPr>
          <w:trHeight w:val="234"/>
        </w:trPr>
        <w:tc>
          <w:tcPr>
            <w:tcW w:w="4420" w:type="dxa"/>
            <w:vAlign w:val="bottom"/>
            <w:tcBorders>
              <w:top w:val="single" w:sz="8" w:color="auto"/>
            </w:tcBorders>
            <w:gridSpan w:val="3"/>
          </w:tcPr>
          <w:p>
            <w:pPr>
              <w:jc w:val="center"/>
              <w:ind w:left="101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110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3600" w:type="dxa"/>
            <w:vAlign w:val="bottom"/>
            <w:tcBorders>
              <w:top w:val="single" w:sz="8" w:color="auto"/>
            </w:tcBorders>
          </w:tcPr>
          <w:p>
            <w:pPr>
              <w:jc w:val="center"/>
              <w:ind w:right="179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(818) 564-4011</w:t>
      </w:r>
    </w:p>
    <w:p>
      <w:pPr>
        <w:spacing w:after="0" w:line="2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N/A</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39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Title of Each Class</w:t>
            </w:r>
          </w:p>
        </w:tc>
        <w:tc>
          <w:tcPr>
            <w:tcW w:w="3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Trading Symbol</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16"/>
        </w:trPr>
        <w:tc>
          <w:tcPr>
            <w:tcW w:w="38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par value $0.0001 per share</w:t>
            </w:r>
          </w:p>
        </w:tc>
        <w:tc>
          <w:tcPr>
            <w:tcW w:w="12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TTRX</w:t>
            </w:r>
          </w:p>
        </w:tc>
        <w:tc>
          <w:tcPr>
            <w:tcW w:w="1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bl>
    <w:p>
      <w:pPr>
        <w:spacing w:after="0" w:line="1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77"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On May 19, 2026, Turn Therapeutics Inc. issued a press release (the “Press Release”). A copy of the Press Release is furnished as Exhibit 99.1 to this Current Report on Form 8-K.</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information in Item 7.01 of this Current Report on Form 8-K and the Press Release furnished as Exhibit 99.1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a filing.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 Exhibits</w:t>
            </w:r>
          </w:p>
        </w:tc>
        <w:tc>
          <w:tcPr>
            <w:tcW w:w="2520" w:type="dxa"/>
            <w:vAlign w:val="bottom"/>
          </w:tcPr>
          <w:p>
            <w:pPr>
              <w:spacing w:after="0"/>
              <w:rPr>
                <w:sz w:val="20"/>
                <w:szCs w:val="20"/>
                <w:color w:val="auto"/>
              </w:rPr>
            </w:pPr>
          </w:p>
        </w:tc>
        <w:tc>
          <w:tcPr>
            <w:tcW w:w="7580" w:type="dxa"/>
            <w:vAlign w:val="bottom"/>
          </w:tcPr>
          <w:p>
            <w:pPr>
              <w:spacing w:after="0"/>
              <w:rPr>
                <w:sz w:val="20"/>
                <w:szCs w:val="20"/>
                <w:color w:val="auto"/>
              </w:rPr>
            </w:pPr>
          </w:p>
        </w:tc>
      </w:tr>
      <w:tr>
        <w:trPr>
          <w:trHeight w:val="43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2520" w:type="dxa"/>
            <w:vAlign w:val="bottom"/>
          </w:tcPr>
          <w:p>
            <w:pPr>
              <w:spacing w:after="0"/>
              <w:rPr>
                <w:sz w:val="24"/>
                <w:szCs w:val="24"/>
                <w:color w:val="auto"/>
              </w:rPr>
            </w:pPr>
          </w:p>
        </w:tc>
        <w:tc>
          <w:tcPr>
            <w:tcW w:w="7580" w:type="dxa"/>
            <w:vAlign w:val="bottom"/>
          </w:tcPr>
          <w:p>
            <w:pPr>
              <w:ind w:left="208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76"/>
        </w:trPr>
        <w:tc>
          <w:tcPr>
            <w:tcW w:w="1020" w:type="dxa"/>
            <w:vAlign w:val="bottom"/>
            <w:tcBorders>
              <w:top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99.1</w:t>
            </w:r>
          </w:p>
        </w:tc>
        <w:tc>
          <w:tcPr>
            <w:tcW w:w="120" w:type="dxa"/>
            <w:vAlign w:val="bottom"/>
            <w:tcBorders>
              <w:top w:val="single" w:sz="8" w:color="CCEEFF"/>
            </w:tcBorders>
            <w:shd w:val="clear" w:color="auto" w:fill="CCEEFF"/>
          </w:tcPr>
          <w:p>
            <w:pPr>
              <w:spacing w:after="0"/>
              <w:rPr>
                <w:sz w:val="15"/>
                <w:szCs w:val="15"/>
                <w:color w:val="auto"/>
              </w:rPr>
            </w:pPr>
          </w:p>
        </w:tc>
        <w:tc>
          <w:tcPr>
            <w:tcW w:w="10100" w:type="dxa"/>
            <w:vAlign w:val="bottom"/>
            <w:tcBorders>
              <w:top w:val="single" w:sz="8" w:color="auto"/>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Press Release, dated May 19, 2026</w:t>
            </w:r>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520" w:type="dxa"/>
            <w:vAlign w:val="bottom"/>
            <w:tcBorders>
              <w:top w:val="single" w:sz="8" w:color="0000EE"/>
            </w:tcBorders>
            <w:shd w:val="clear" w:color="auto" w:fill="CCEEFF"/>
          </w:tcPr>
          <w:p>
            <w:pPr>
              <w:spacing w:after="0" w:line="20" w:lineRule="exact"/>
              <w:rPr>
                <w:sz w:val="1"/>
                <w:szCs w:val="1"/>
                <w:color w:val="auto"/>
              </w:rPr>
            </w:pPr>
          </w:p>
        </w:tc>
        <w:tc>
          <w:tcPr>
            <w:tcW w:w="7580" w:type="dxa"/>
            <w:vAlign w:val="bottom"/>
            <w:tcBorders>
              <w:top w:val="single" w:sz="8" w:color="CCEEFF"/>
            </w:tcBorders>
            <w:shd w:val="clear" w:color="auto" w:fill="CCEEFF"/>
          </w:tcPr>
          <w:p>
            <w:pPr>
              <w:spacing w:after="0" w:line="20" w:lineRule="exact"/>
              <w:rPr>
                <w:sz w:val="1"/>
                <w:szCs w:val="1"/>
                <w:color w:val="auto"/>
              </w:rPr>
            </w:pPr>
          </w:p>
        </w:tc>
      </w:tr>
    </w:tbl>
    <w:p>
      <w:pPr>
        <w:ind w:left="5580" w:right="4320" w:hanging="5572"/>
        <w:spacing w:after="0" w:line="761" w:lineRule="auto"/>
        <w:tabs>
          <w:tab w:leader="none" w:pos="1143"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-284480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TURN THERAPEUTICS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19, 2026</w:t>
      </w:r>
    </w:p>
    <w:p>
      <w:pPr>
        <w:spacing w:after="0" w:line="9"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Bradley Burnam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5715</wp:posOffset>
            </wp:positionV>
            <wp:extent cx="249428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ind w:left="6760"/>
        <w:spacing w:after="0"/>
        <w:rPr>
          <w:sz w:val="20"/>
          <w:szCs w:val="20"/>
          <w:color w:val="auto"/>
        </w:rPr>
      </w:pPr>
      <w:r>
        <w:rPr>
          <w:rFonts w:ascii="Times New Roman" w:cs="Times New Roman" w:eastAsia="Times New Roman" w:hAnsi="Times New Roman"/>
          <w:sz w:val="18"/>
          <w:szCs w:val="18"/>
          <w:color w:val="auto"/>
        </w:rPr>
        <w:t>Name: Bradley Burnam</w:t>
      </w:r>
    </w:p>
    <w:p>
      <w:pPr>
        <w:spacing w:after="0" w:line="36"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2254250" cy="7543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254250" cy="754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IMMEDIATE RELEASE</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Turn Therapeutics to Present at Jefferies Global Healthcare Conference 2026</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Westlake Village, Calif. – May 19, 2026 - </w:t>
      </w:r>
      <w:r>
        <w:rPr>
          <w:rFonts w:ascii="Times New Roman" w:cs="Times New Roman" w:eastAsia="Times New Roman" w:hAnsi="Times New Roman"/>
          <w:sz w:val="18"/>
          <w:szCs w:val="18"/>
          <w:color w:val="auto"/>
        </w:rPr>
        <w:t>Turn Therapeutics Inc. (Nasdaq: TTRX), a clinical-stage biotechnology company developing targeted, localized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therapies for inflammatory skin diseases, today announced that Bradley Burnam, Chief Executive Officer, will present at the Jefferies Global Healthcare Conference in New York City as follows: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Date: </w:t>
      </w:r>
      <w:r>
        <w:rPr>
          <w:rFonts w:ascii="Times New Roman" w:cs="Times New Roman" w:eastAsia="Times New Roman" w:hAnsi="Times New Roman"/>
          <w:sz w:val="18"/>
          <w:szCs w:val="18"/>
          <w:color w:val="auto"/>
        </w:rPr>
        <w:t>June 4, 2026</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Time: </w:t>
      </w:r>
      <w:r>
        <w:rPr>
          <w:rFonts w:ascii="Times New Roman" w:cs="Times New Roman" w:eastAsia="Times New Roman" w:hAnsi="Times New Roman"/>
          <w:sz w:val="18"/>
          <w:szCs w:val="18"/>
          <w:color w:val="auto"/>
        </w:rPr>
        <w:t>9:55AM – 10:25 AM EDT</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live webcast of the presentation may be accessed on the Investors section of the Turn Therapeutics website at https://ir.turntherapeutics.com/news-events/presentations. A replay of the webcast will be available on the Turn Therapeutics website for approximately six months following the presentation.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Turn Therapeutics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Turn Therapeutics is a biotechnology company focused on developing innovative, precision therapies that target the underlying causes of inflammatory diseases with high unmet needs. Its lead investigational therapy, GX-03, is a first-in-class, non-systemic topical inhibitor currently in development for the treatment of moderate-to-severe atopic dermatitis. This therapy is designed to modulate key inflammatory pathways involved in eczema and other inflammatory dermatological conditions, specifically targeting IL-36 and IL-31, two cytokines that play distinct but interconnected roles in driving chronic skin inflammation and the itch-scratch cycle. GX-03 addresses IL-36 upstream, where epithelial stress and barrier disruption initiate the inflammatory cascade, and IL-31 downstream, where itch signaling perpetuates disease. It is currently being evaluated in a Phase 2 randomized controlled trial, with topline results expected in mid-2026.</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 / Media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Sasha Damouni</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Damouni Group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Sasha@damounigroup.com</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0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2026-05-19T07:17:13Z</dcterms:created>
  <dcterms:modified xsi:type="dcterms:W3CDTF">2026-05-19T07:17:13Z</dcterms:modified>
</cp:coreProperties>
</file>